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0FA67E0E" w:rsidR="006D3631" w:rsidRPr="00385905" w:rsidRDefault="008960BF"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Torkard</w:t>
      </w:r>
      <w:proofErr w:type="spellEnd"/>
      <w:r>
        <w:rPr>
          <w:rFonts w:ascii="Arial" w:hAnsi="Arial" w:cs="Arial"/>
          <w:b/>
          <w:bCs/>
          <w:sz w:val="32"/>
          <w:szCs w:val="32"/>
          <w:lang w:eastAsia="en-GB"/>
        </w:rPr>
        <w:t xml:space="preserve"> Hill Medical Centre</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6EBA627"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E40334">
        <w:rPr>
          <w:rFonts w:ascii="Arial" w:hAnsi="Arial" w:cs="Arial"/>
          <w:b/>
          <w:bCs/>
          <w:sz w:val="20"/>
          <w:szCs w:val="20"/>
          <w:lang w:eastAsia="en-GB"/>
        </w:rPr>
        <w:t>2</w:t>
      </w:r>
      <w:r>
        <w:rPr>
          <w:rFonts w:ascii="Arial" w:hAnsi="Arial" w:cs="Arial"/>
          <w:b/>
          <w:bCs/>
          <w:sz w:val="20"/>
          <w:szCs w:val="20"/>
          <w:lang w:eastAsia="en-GB"/>
        </w:rPr>
        <w:t>.</w:t>
      </w:r>
      <w:r w:rsidR="002E01F4">
        <w:rPr>
          <w:rFonts w:ascii="Arial" w:hAnsi="Arial" w:cs="Arial"/>
          <w:b/>
          <w:bCs/>
          <w:sz w:val="20"/>
          <w:szCs w:val="20"/>
          <w:lang w:eastAsia="en-GB"/>
        </w:rPr>
        <w:t>3</w:t>
      </w:r>
      <w:r>
        <w:rPr>
          <w:rFonts w:ascii="Arial" w:hAnsi="Arial" w:cs="Arial"/>
          <w:b/>
          <w:bCs/>
          <w:sz w:val="20"/>
          <w:szCs w:val="20"/>
          <w:lang w:eastAsia="en-GB"/>
        </w:rPr>
        <w:t xml:space="preserve"> </w:t>
      </w:r>
    </w:p>
    <w:p w14:paraId="137D3196" w14:textId="25C0880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E01F4">
        <w:rPr>
          <w:rFonts w:ascii="Arial" w:hAnsi="Arial" w:cs="Arial"/>
          <w:b/>
          <w:bCs/>
          <w:sz w:val="20"/>
          <w:szCs w:val="20"/>
          <w:lang w:eastAsia="en-GB"/>
        </w:rPr>
        <w:t>09/06</w:t>
      </w:r>
      <w:r w:rsidR="00E764AC">
        <w:rPr>
          <w:rFonts w:ascii="Arial" w:hAnsi="Arial" w:cs="Arial"/>
          <w:b/>
          <w:bCs/>
          <w:sz w:val="20"/>
          <w:szCs w:val="20"/>
          <w:lang w:eastAsia="en-GB"/>
        </w:rPr>
        <w:t>/2021</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44D0083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77777777"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77777777" w:rsidR="00F80C43" w:rsidRPr="00F80C43" w:rsidRDefault="00F80C43">
      <w:pPr>
        <w:spacing w:after="0" w:line="240" w:lineRule="auto"/>
        <w:rPr>
          <w:b/>
          <w:bCs/>
          <w:color w:val="000000"/>
        </w:rPr>
      </w:pPr>
      <w:r w:rsidRPr="00F80C43">
        <w:rPr>
          <w:b/>
          <w:bCs/>
          <w:color w:val="000000"/>
        </w:rPr>
        <w:t>Dudley CCG</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4188630B" w:rsidR="00754729" w:rsidRPr="005E1E0E" w:rsidRDefault="008960BF" w:rsidP="00160BD8">
      <w:pPr>
        <w:autoSpaceDE w:val="0"/>
        <w:autoSpaceDN w:val="0"/>
        <w:adjustRightInd w:val="0"/>
        <w:spacing w:after="0" w:line="240" w:lineRule="auto"/>
        <w:jc w:val="both"/>
        <w:outlineLvl w:val="0"/>
        <w:rPr>
          <w:rFonts w:ascii="Arial" w:hAnsi="Arial" w:cs="Arial"/>
          <w:b/>
          <w:bCs/>
          <w:sz w:val="20"/>
          <w:szCs w:val="20"/>
          <w:lang w:eastAsia="en-GB"/>
        </w:rPr>
      </w:pPr>
      <w:proofErr w:type="spellStart"/>
      <w:r>
        <w:rPr>
          <w:rFonts w:ascii="Arial" w:hAnsi="Arial" w:cs="Arial"/>
          <w:b/>
          <w:bCs/>
          <w:sz w:val="20"/>
          <w:szCs w:val="20"/>
          <w:lang w:eastAsia="en-GB"/>
        </w:rPr>
        <w:lastRenderedPageBreak/>
        <w:t>Torkard</w:t>
      </w:r>
      <w:proofErr w:type="spellEnd"/>
      <w:r>
        <w:rPr>
          <w:rFonts w:ascii="Arial" w:hAnsi="Arial" w:cs="Arial"/>
          <w:b/>
          <w:bCs/>
          <w:sz w:val="20"/>
          <w:szCs w:val="20"/>
          <w:lang w:eastAsia="en-GB"/>
        </w:rPr>
        <w:t xml:space="preserve"> Hill Medical Centre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7F8D19B6" w:rsidR="00265980" w:rsidRPr="005E1E0E" w:rsidRDefault="00265980" w:rsidP="00265980">
      <w:pPr>
        <w:pStyle w:val="Default"/>
        <w:rPr>
          <w:color w:val="auto"/>
          <w:sz w:val="20"/>
          <w:szCs w:val="20"/>
        </w:rPr>
      </w:pPr>
      <w:r w:rsidRPr="005E1E0E">
        <w:rPr>
          <w:color w:val="auto"/>
          <w:sz w:val="20"/>
          <w:szCs w:val="20"/>
        </w:rPr>
        <w:t>The General Data Protection Regulation (GDPR)</w:t>
      </w:r>
      <w:r w:rsidR="006528FD" w:rsidRPr="005E1E0E">
        <w:rPr>
          <w:color w:val="auto"/>
          <w:sz w:val="20"/>
          <w:szCs w:val="20"/>
        </w:rPr>
        <w:t xml:space="preserve"> and the Data Protection Act 2018</w:t>
      </w:r>
      <w:r w:rsidR="00E02812">
        <w:rPr>
          <w:color w:val="auto"/>
          <w:sz w:val="20"/>
          <w:szCs w:val="20"/>
        </w:rPr>
        <w:t xml:space="preserve"> (DPA 2018)</w:t>
      </w:r>
      <w:r w:rsidRPr="005E1E0E">
        <w:rPr>
          <w:color w:val="auto"/>
          <w:sz w:val="20"/>
          <w:szCs w:val="20"/>
        </w:rPr>
        <w:t xml:space="preserve"> became law on 2</w:t>
      </w:r>
      <w:r w:rsidR="005E1E0E">
        <w:rPr>
          <w:color w:val="auto"/>
          <w:sz w:val="20"/>
          <w:szCs w:val="20"/>
        </w:rPr>
        <w:t>5</w:t>
      </w:r>
      <w:r w:rsidRPr="005E1E0E">
        <w:rPr>
          <w:color w:val="auto"/>
          <w:sz w:val="20"/>
          <w:szCs w:val="20"/>
        </w:rPr>
        <w:t>th May 201</w:t>
      </w:r>
      <w:r w:rsidR="005E1E0E">
        <w:rPr>
          <w:color w:val="auto"/>
          <w:sz w:val="20"/>
          <w:szCs w:val="20"/>
        </w:rPr>
        <w:t>8</w:t>
      </w:r>
      <w:r w:rsidRPr="005E1E0E">
        <w:rPr>
          <w:color w:val="auto"/>
          <w:sz w:val="20"/>
          <w:szCs w:val="20"/>
        </w:rPr>
        <w:t xml:space="preserve">. </w:t>
      </w:r>
      <w:r w:rsidR="006528FD" w:rsidRPr="005E1E0E">
        <w:rPr>
          <w:color w:val="auto"/>
          <w:sz w:val="20"/>
          <w:szCs w:val="20"/>
        </w:rPr>
        <w:t>The GDPR is</w:t>
      </w:r>
      <w:r w:rsidRPr="005E1E0E">
        <w:rPr>
          <w:color w:val="auto"/>
          <w:sz w:val="20"/>
          <w:szCs w:val="20"/>
        </w:rPr>
        <w:t xml:space="preserve"> a single EU-wide regulation on the protection of confidential and sensitive </w:t>
      </w:r>
      <w:r w:rsidR="00E02812">
        <w:rPr>
          <w:color w:val="auto"/>
          <w:sz w:val="20"/>
          <w:szCs w:val="20"/>
        </w:rPr>
        <w:t xml:space="preserve">(special) </w:t>
      </w:r>
      <w:r w:rsidRPr="005E1E0E">
        <w:rPr>
          <w:color w:val="auto"/>
          <w:sz w:val="20"/>
          <w:szCs w:val="20"/>
        </w:rPr>
        <w:t>information</w:t>
      </w:r>
      <w:r w:rsidR="006528FD" w:rsidRPr="005E1E0E">
        <w:rPr>
          <w:color w:val="auto"/>
          <w:sz w:val="20"/>
          <w:szCs w:val="20"/>
        </w:rPr>
        <w:t>, the DPA 2018 deals with elements of UK law that differ from the European Regulation</w:t>
      </w:r>
      <w:r w:rsidR="00E02812">
        <w:rPr>
          <w:color w:val="auto"/>
          <w:sz w:val="20"/>
          <w:szCs w:val="20"/>
        </w:rPr>
        <w:t>, both</w:t>
      </w:r>
      <w:r w:rsidR="006528FD" w:rsidRPr="005E1E0E">
        <w:rPr>
          <w:color w:val="auto"/>
          <w:sz w:val="20"/>
          <w:szCs w:val="20"/>
        </w:rPr>
        <w:t xml:space="preserve"> came</w:t>
      </w:r>
      <w:r w:rsidRPr="005E1E0E">
        <w:rPr>
          <w:color w:val="auto"/>
          <w:sz w:val="20"/>
          <w:szCs w:val="20"/>
        </w:rPr>
        <w:t xml:space="preserve"> into force </w:t>
      </w:r>
      <w:r w:rsidR="00457267" w:rsidRPr="005E1E0E">
        <w:rPr>
          <w:color w:val="auto"/>
          <w:sz w:val="20"/>
          <w:szCs w:val="20"/>
        </w:rPr>
        <w:t xml:space="preserve">in the UK </w:t>
      </w:r>
      <w:r w:rsidRPr="005E1E0E">
        <w:rPr>
          <w:color w:val="auto"/>
          <w:sz w:val="20"/>
          <w:szCs w:val="20"/>
        </w:rPr>
        <w:t>on the 25th May 2018, repealing the</w:t>
      </w:r>
      <w:r w:rsidR="006528FD" w:rsidRPr="005E1E0E">
        <w:rPr>
          <w:color w:val="auto"/>
          <w:sz w:val="20"/>
          <w:szCs w:val="20"/>
        </w:rPr>
        <w:t xml:space="preserve"> previous</w:t>
      </w:r>
      <w:r w:rsidRPr="005E1E0E">
        <w:rPr>
          <w:color w:val="auto"/>
          <w:sz w:val="20"/>
          <w:szCs w:val="20"/>
        </w:rPr>
        <w:t xml:space="preserve"> Data Protection Act (1998). </w:t>
      </w:r>
    </w:p>
    <w:p w14:paraId="3C72CBCA" w14:textId="0A9C4AEB" w:rsidR="00265980" w:rsidRPr="005E1E0E"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355AAB50" w:rsidR="00265980" w:rsidRPr="005E1E0E" w:rsidRDefault="00265980" w:rsidP="00265980">
      <w:pPr>
        <w:rPr>
          <w:rFonts w:ascii="Arial" w:hAnsi="Arial" w:cs="Arial"/>
          <w:sz w:val="20"/>
          <w:szCs w:val="20"/>
        </w:rPr>
      </w:pPr>
      <w:r w:rsidRPr="005E1E0E">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the </w:t>
      </w:r>
      <w:r w:rsidR="00E37206" w:rsidRPr="005E1E0E">
        <w:rPr>
          <w:rFonts w:ascii="Arial" w:hAnsi="Arial" w:cs="Arial"/>
          <w:sz w:val="20"/>
          <w:szCs w:val="20"/>
        </w:rPr>
        <w:t>practice</w:t>
      </w:r>
      <w:r w:rsidRPr="005E1E0E">
        <w:rPr>
          <w:rFonts w:ascii="Arial" w:hAnsi="Arial" w:cs="Arial"/>
          <w:sz w:val="20"/>
          <w:szCs w:val="20"/>
        </w:rPr>
        <w:t xml:space="preserve"> responsible for your personal data </w:t>
      </w:r>
      <w:proofErr w:type="spellStart"/>
      <w:r w:rsidR="008960BF">
        <w:rPr>
          <w:rFonts w:ascii="Arial" w:hAnsi="Arial" w:cs="Arial"/>
          <w:sz w:val="20"/>
          <w:szCs w:val="20"/>
        </w:rPr>
        <w:t>Torkard</w:t>
      </w:r>
      <w:proofErr w:type="spellEnd"/>
      <w:r w:rsidR="008960BF">
        <w:rPr>
          <w:rFonts w:ascii="Arial" w:hAnsi="Arial" w:cs="Arial"/>
          <w:sz w:val="20"/>
          <w:szCs w:val="20"/>
        </w:rPr>
        <w:t xml:space="preserve"> Hill Medical Centre.</w:t>
      </w:r>
    </w:p>
    <w:p w14:paraId="0B733621" w14:textId="6B5F0A54" w:rsidR="00FC6FFA" w:rsidRPr="005E1E0E" w:rsidRDefault="00FC6FFA" w:rsidP="00265980">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sidR="00E02812">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692A760" w:rsidR="00E37206" w:rsidRPr="005E1E0E" w:rsidRDefault="008960BF" w:rsidP="00E37206">
      <w:pPr>
        <w:widowControl w:val="0"/>
        <w:spacing w:after="280"/>
        <w:rPr>
          <w:rFonts w:ascii="Arial" w:hAnsi="Arial" w:cs="Arial"/>
          <w:sz w:val="20"/>
          <w:szCs w:val="20"/>
        </w:rPr>
      </w:pPr>
      <w:proofErr w:type="spellStart"/>
      <w:r>
        <w:rPr>
          <w:rFonts w:ascii="Arial" w:hAnsi="Arial" w:cs="Arial"/>
          <w:sz w:val="20"/>
          <w:szCs w:val="20"/>
        </w:rPr>
        <w:t>Torkard</w:t>
      </w:r>
      <w:proofErr w:type="spellEnd"/>
      <w:r>
        <w:rPr>
          <w:rFonts w:ascii="Arial" w:hAnsi="Arial" w:cs="Arial"/>
          <w:sz w:val="20"/>
          <w:szCs w:val="20"/>
        </w:rPr>
        <w:t xml:space="preserve"> Hill Medical Centre</w:t>
      </w:r>
      <w:r w:rsidRPr="005E1E0E">
        <w:rPr>
          <w:rFonts w:ascii="Arial" w:hAnsi="Arial" w:cs="Arial"/>
          <w:sz w:val="20"/>
          <w:szCs w:val="20"/>
        </w:rPr>
        <w:t xml:space="preserve"> </w:t>
      </w:r>
      <w:r w:rsidR="00E37206" w:rsidRPr="005E1E0E">
        <w:rPr>
          <w:rFonts w:ascii="Arial" w:hAnsi="Arial" w:cs="Arial"/>
          <w:sz w:val="20"/>
          <w:szCs w:val="20"/>
        </w:rPr>
        <w:t xml:space="preserve">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71DDADAC" w14:textId="77777777" w:rsidR="00E40334" w:rsidRPr="00E40334" w:rsidRDefault="00E40334" w:rsidP="00E40334">
      <w:pPr>
        <w:rPr>
          <w:rFonts w:cs="Arial"/>
        </w:rPr>
      </w:pPr>
      <w:r w:rsidRPr="00E40334">
        <w:rPr>
          <w:rFonts w:cs="Arial"/>
        </w:rPr>
        <w:lastRenderedPageBreak/>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77777777"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spellStart"/>
      <w:r w:rsidRPr="00E40334">
        <w:rPr>
          <w:rFonts w:cs="Arial"/>
        </w:rPr>
        <w:t>eg</w:t>
      </w:r>
      <w:proofErr w:type="spell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35008F97" w:rsidR="00F80C43" w:rsidRPr="005E1E0E"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61453355" w14:textId="77777777" w:rsidR="00C07129" w:rsidRPr="009227C6" w:rsidRDefault="00C07129" w:rsidP="00C07129">
      <w:pPr>
        <w:rPr>
          <w:b/>
        </w:rPr>
      </w:pPr>
      <w:r w:rsidRPr="009227C6">
        <w:rPr>
          <w:b/>
        </w:rPr>
        <w:t xml:space="preserve">GP Connect Service </w:t>
      </w:r>
    </w:p>
    <w:p w14:paraId="36CF3193" w14:textId="77777777" w:rsidR="00C07129" w:rsidRPr="009227C6" w:rsidRDefault="00C07129" w:rsidP="00C07129">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w:t>
      </w:r>
      <w:proofErr w:type="gramStart"/>
      <w:r w:rsidRPr="009227C6">
        <w:rPr>
          <w:rFonts w:cstheme="minorHAnsi"/>
        </w:rPr>
        <w:t>Practice,</w:t>
      </w:r>
      <w:proofErr w:type="gramEnd"/>
      <w:r w:rsidRPr="009227C6">
        <w:rPr>
          <w:rFonts w:cstheme="minorHAnsi"/>
        </w:rPr>
        <w:t xml:space="preserve"> the clinician will access available appointment slots only (through GP Connect) and book you in. This will save you time as you will not need to contact the practice direct for an appointment. </w:t>
      </w:r>
    </w:p>
    <w:p w14:paraId="45ADAB3F" w14:textId="77777777" w:rsidR="00C07129" w:rsidRPr="009227C6" w:rsidRDefault="00C07129" w:rsidP="00C07129">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328F575F" w14:textId="77777777" w:rsidR="00C07129" w:rsidRPr="009227C6" w:rsidRDefault="00C07129" w:rsidP="00C07129">
      <w:r w:rsidRPr="009227C6">
        <w:t xml:space="preserve">Please note if you no longer require the appointment or need to change the date and time for any reason you will need to speak to one of our reception staff and not NHS 111. </w:t>
      </w:r>
    </w:p>
    <w:p w14:paraId="1885CEC7" w14:textId="401795ED" w:rsidR="003A3C73" w:rsidRDefault="003A3C73" w:rsidP="003A3C73">
      <w:pPr>
        <w:widowControl w:val="0"/>
        <w:rPr>
          <w:rFonts w:ascii="Arial" w:hAnsi="Arial" w:cs="Arial"/>
          <w:sz w:val="20"/>
          <w:szCs w:val="20"/>
        </w:rPr>
      </w:pPr>
    </w:p>
    <w:p w14:paraId="63DF8AB3" w14:textId="11D8DA8F" w:rsidR="00C07129" w:rsidRDefault="00C07129" w:rsidP="003A3C73">
      <w:pPr>
        <w:widowControl w:val="0"/>
        <w:rPr>
          <w:rFonts w:ascii="Arial" w:hAnsi="Arial" w:cs="Arial"/>
          <w:sz w:val="20"/>
          <w:szCs w:val="20"/>
        </w:rPr>
      </w:pPr>
    </w:p>
    <w:p w14:paraId="47455825" w14:textId="77777777" w:rsidR="00C07129" w:rsidRPr="005E1E0E" w:rsidRDefault="00C07129" w:rsidP="003A3C73">
      <w:pPr>
        <w:widowControl w:val="0"/>
        <w:rPr>
          <w:rFonts w:ascii="Arial" w:hAnsi="Arial" w:cs="Arial"/>
          <w:sz w:val="20"/>
          <w:szCs w:val="20"/>
        </w:rPr>
      </w:pPr>
    </w:p>
    <w:p w14:paraId="2D507AC4" w14:textId="56CBD0D9" w:rsidR="006528FD" w:rsidRPr="005E1E0E" w:rsidRDefault="006528FD" w:rsidP="006528FD">
      <w:pPr>
        <w:widowControl w:val="0"/>
        <w:rPr>
          <w:rFonts w:ascii="Arial" w:hAnsi="Arial" w:cs="Arial"/>
          <w:b/>
          <w:sz w:val="20"/>
          <w:szCs w:val="20"/>
        </w:rPr>
      </w:pPr>
      <w:r w:rsidRPr="005E1E0E">
        <w:rPr>
          <w:rFonts w:ascii="Arial" w:hAnsi="Arial" w:cs="Arial"/>
          <w:b/>
          <w:sz w:val="20"/>
          <w:szCs w:val="20"/>
        </w:rPr>
        <w:lastRenderedPageBreak/>
        <w:t>Patient Communication</w:t>
      </w:r>
    </w:p>
    <w:p w14:paraId="688247C6" w14:textId="77777777" w:rsidR="00E40334" w:rsidRPr="00E40334" w:rsidRDefault="00E40334" w:rsidP="00E40334">
      <w:pPr>
        <w:rPr>
          <w:rFonts w:cs="Arial"/>
        </w:rPr>
      </w:pPr>
      <w:bookmarkStart w:id="5"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14:paraId="690872B6" w14:textId="77777777" w:rsidR="00E40334" w:rsidRPr="00E40334" w:rsidRDefault="00E40334" w:rsidP="00E40334">
      <w:pPr>
        <w:rPr>
          <w:rFonts w:cs="Arial"/>
        </w:rPr>
      </w:pPr>
      <w:r w:rsidRPr="00E40334">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 to date details.</w:t>
      </w:r>
    </w:p>
    <w:p w14:paraId="04258CA8" w14:textId="77777777" w:rsidR="00E40334" w:rsidRPr="00E40334" w:rsidRDefault="00E40334" w:rsidP="00E403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38EC0256" w14:textId="0B14294F" w:rsidR="008A351A" w:rsidRPr="005E1E0E" w:rsidRDefault="008A351A" w:rsidP="00DE4B64">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F81606B" w14:textId="729EBB94" w:rsidR="00B94788" w:rsidRDefault="00B94788">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br w:type="page"/>
      </w:r>
    </w:p>
    <w:p w14:paraId="55755230" w14:textId="365CE27A" w:rsidR="00F61503" w:rsidRPr="005E1E0E" w:rsidRDefault="00F61503" w:rsidP="00F61503">
      <w:pPr>
        <w:spacing w:before="126" w:after="126" w:line="300" w:lineRule="atLeast"/>
        <w:rPr>
          <w:rFonts w:ascii="Arial" w:hAnsi="Arial" w:cs="Arial"/>
          <w:b/>
          <w:color w:val="333333"/>
          <w:sz w:val="20"/>
          <w:szCs w:val="20"/>
          <w:shd w:val="clear" w:color="auto" w:fill="FFFFFF"/>
        </w:rPr>
      </w:pPr>
      <w:r w:rsidRPr="005E1E0E">
        <w:rPr>
          <w:rFonts w:ascii="Arial" w:hAnsi="Arial" w:cs="Arial"/>
          <w:b/>
          <w:color w:val="333333"/>
          <w:sz w:val="20"/>
          <w:szCs w:val="20"/>
          <w:shd w:val="clear" w:color="auto" w:fill="FFFFFF"/>
        </w:rPr>
        <w:lastRenderedPageBreak/>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8960BF" w:rsidP="00F61503">
      <w:pPr>
        <w:spacing w:before="126" w:after="126" w:line="300" w:lineRule="atLeast"/>
        <w:rPr>
          <w:rFonts w:ascii="Arial" w:eastAsia="Times New Roman" w:hAnsi="Arial" w:cs="Arial"/>
          <w:sz w:val="20"/>
          <w:szCs w:val="20"/>
          <w:lang w:eastAsia="en-GB"/>
        </w:rPr>
      </w:pPr>
      <w:hyperlink r:id="rId7"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7A09D435"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proofErr w:type="spellStart"/>
      <w:r w:rsidR="008960BF">
        <w:rPr>
          <w:rFonts w:ascii="Arial" w:hAnsi="Arial" w:cs="Arial"/>
          <w:sz w:val="20"/>
          <w:szCs w:val="20"/>
        </w:rPr>
        <w:t>Torkard</w:t>
      </w:r>
      <w:proofErr w:type="spellEnd"/>
      <w:r w:rsidR="008960BF">
        <w:rPr>
          <w:rFonts w:ascii="Arial" w:hAnsi="Arial" w:cs="Arial"/>
          <w:sz w:val="20"/>
          <w:szCs w:val="20"/>
        </w:rPr>
        <w:t xml:space="preserve"> Hill Medical Centre</w:t>
      </w:r>
      <w:r w:rsidR="008960BF">
        <w:rPr>
          <w:rFonts w:ascii="Arial" w:hAnsi="Arial" w:cs="Arial"/>
          <w:sz w:val="20"/>
          <w:szCs w:val="20"/>
        </w:rPr>
        <w:t xml:space="preserve"> </w:t>
      </w:r>
      <w:r w:rsidR="009A2DD7" w:rsidRPr="005E1E0E">
        <w:rPr>
          <w:rFonts w:ascii="Arial" w:hAnsi="Arial" w:cs="Arial"/>
          <w:sz w:val="20"/>
          <w:szCs w:val="20"/>
        </w:rPr>
        <w:t>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8" w:history="1">
        <w:r>
          <w:rPr>
            <w:rStyle w:val="Hyperlink"/>
            <w:rFonts w:ascii="Arial" w:hAnsi="Arial" w:cs="Arial"/>
            <w:sz w:val="20"/>
            <w:szCs w:val="20"/>
          </w:rPr>
          <w:t>British Medical Association (BMA)</w:t>
        </w:r>
      </w:hyperlink>
      <w:r>
        <w:rPr>
          <w:rFonts w:ascii="Arial" w:hAnsi="Arial" w:cs="Arial"/>
          <w:sz w:val="20"/>
          <w:szCs w:val="20"/>
        </w:rPr>
        <w:t>, </w:t>
      </w:r>
      <w:hyperlink r:id="rId9" w:history="1">
        <w:r>
          <w:rPr>
            <w:rStyle w:val="Hyperlink"/>
            <w:rFonts w:ascii="Arial" w:hAnsi="Arial" w:cs="Arial"/>
            <w:sz w:val="20"/>
            <w:szCs w:val="20"/>
          </w:rPr>
          <w:t>Royal College of GPs (RCGP)</w:t>
        </w:r>
      </w:hyperlink>
      <w:r>
        <w:rPr>
          <w:rFonts w:ascii="Arial" w:hAnsi="Arial" w:cs="Arial"/>
          <w:sz w:val="20"/>
          <w:szCs w:val="20"/>
        </w:rPr>
        <w:t> and the </w:t>
      </w:r>
      <w:hyperlink r:id="rId10"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4FB9EF2D"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2B196BF0"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 xml:space="preserve">This collection will start from 1 </w:t>
      </w:r>
      <w:r>
        <w:rPr>
          <w:rFonts w:ascii="Arial" w:hAnsi="Arial" w:cs="Arial"/>
          <w:sz w:val="20"/>
          <w:szCs w:val="20"/>
        </w:rPr>
        <w:t>September</w:t>
      </w:r>
      <w:r w:rsidRPr="004E2C36">
        <w:rPr>
          <w:rFonts w:ascii="Arial" w:hAnsi="Arial" w:cs="Arial"/>
          <w:sz w:val="20"/>
          <w:szCs w:val="20"/>
        </w:rPr>
        <w:t xml:space="preserve"> 2021. Patient data will be collected from GP medical records about:</w:t>
      </w:r>
    </w:p>
    <w:p w14:paraId="094EA0D2" w14:textId="77777777" w:rsidR="002E01F4" w:rsidRPr="004E2C36" w:rsidRDefault="002E01F4" w:rsidP="002E01F4">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287C4878" w14:textId="77777777" w:rsidR="002E01F4" w:rsidRPr="004E2C36" w:rsidRDefault="002E01F4" w:rsidP="002E01F4">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42F4F591"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A7D8A93"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4D3A0D82" w14:textId="77777777" w:rsidR="002E01F4" w:rsidRPr="004E2C36" w:rsidRDefault="002E01F4" w:rsidP="002E01F4">
      <w:pPr>
        <w:rPr>
          <w:rFonts w:ascii="Arial" w:hAnsi="Arial" w:cs="Arial"/>
          <w:sz w:val="20"/>
          <w:szCs w:val="20"/>
        </w:rPr>
      </w:pPr>
      <w:r w:rsidRPr="004E2C36">
        <w:rPr>
          <w:rFonts w:ascii="Arial" w:hAnsi="Arial" w:cs="Arial"/>
          <w:noProof/>
          <w:sz w:val="20"/>
          <w:szCs w:val="20"/>
          <w:lang w:eastAsia="en-GB"/>
        </w:rPr>
        <w:drawing>
          <wp:inline distT="0" distB="0" distL="0" distR="0" wp14:anchorId="40875E84" wp14:editId="2441D176">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4725017A"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Image provided by Understanding Patient Data </w:t>
      </w:r>
      <w:hyperlink r:id="rId12"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71B68992"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2C8A798"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3"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6D227F1" w14:textId="77777777" w:rsidR="002E01F4" w:rsidRDefault="002E01F4" w:rsidP="002E01F4">
      <w:pPr>
        <w:spacing w:after="0" w:line="240" w:lineRule="auto"/>
        <w:rPr>
          <w:rFonts w:ascii="Arial" w:hAnsi="Arial" w:cs="Arial"/>
          <w:sz w:val="20"/>
          <w:szCs w:val="20"/>
        </w:rPr>
      </w:pPr>
      <w:r>
        <w:rPr>
          <w:rFonts w:ascii="Arial" w:hAnsi="Arial" w:cs="Arial"/>
          <w:sz w:val="20"/>
          <w:szCs w:val="20"/>
        </w:rPr>
        <w:br w:type="page"/>
      </w:r>
    </w:p>
    <w:p w14:paraId="27532B76" w14:textId="77777777" w:rsidR="002E01F4" w:rsidRPr="004E2C36" w:rsidRDefault="002E01F4" w:rsidP="002E01F4">
      <w:pPr>
        <w:rPr>
          <w:rFonts w:ascii="Arial" w:hAnsi="Arial" w:cs="Arial"/>
          <w:sz w:val="20"/>
          <w:szCs w:val="20"/>
        </w:rPr>
      </w:pPr>
    </w:p>
    <w:p w14:paraId="3CB70F5B"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 xml:space="preserve">The </w:t>
      </w:r>
      <w:r>
        <w:rPr>
          <w:rFonts w:ascii="Arial" w:hAnsi="Arial" w:cs="Arial"/>
          <w:sz w:val="20"/>
          <w:szCs w:val="20"/>
        </w:rPr>
        <w:t>D</w:t>
      </w:r>
      <w:r w:rsidRPr="004E2C36">
        <w:rPr>
          <w:rFonts w:ascii="Arial" w:hAnsi="Arial" w:cs="Arial"/>
          <w:sz w:val="20"/>
          <w:szCs w:val="20"/>
        </w:rPr>
        <w:t xml:space="preserve">ata </w:t>
      </w:r>
      <w:r>
        <w:rPr>
          <w:rFonts w:ascii="Arial" w:hAnsi="Arial" w:cs="Arial"/>
          <w:sz w:val="20"/>
          <w:szCs w:val="20"/>
        </w:rPr>
        <w:t>NHD Digital</w:t>
      </w:r>
      <w:r w:rsidRPr="004E2C36">
        <w:rPr>
          <w:rFonts w:ascii="Arial" w:hAnsi="Arial" w:cs="Arial"/>
          <w:sz w:val="20"/>
          <w:szCs w:val="20"/>
        </w:rPr>
        <w:t xml:space="preserve"> collect</w:t>
      </w:r>
    </w:p>
    <w:p w14:paraId="55D4E675"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6399EC85" w14:textId="77777777" w:rsidR="002E01F4" w:rsidRPr="004E2C36" w:rsidRDefault="002E01F4" w:rsidP="002E01F4">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313983D" w14:textId="77777777" w:rsidR="002E01F4" w:rsidRDefault="002E01F4" w:rsidP="002E01F4">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41C4218B" w14:textId="77777777" w:rsidR="002E01F4" w:rsidRPr="004E2C36" w:rsidRDefault="002E01F4" w:rsidP="002E01F4">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1C47B2FB"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05AA06BA"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66D0C23E" w14:textId="77777777" w:rsidR="002E01F4" w:rsidRPr="004E2C36" w:rsidRDefault="002E01F4" w:rsidP="002E01F4">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71B8B8F6" w14:textId="77777777" w:rsidR="002E01F4" w:rsidRDefault="002E01F4" w:rsidP="002E01F4">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1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569C998C" w14:textId="77777777" w:rsidR="002E01F4" w:rsidRPr="004E2C36" w:rsidRDefault="002E01F4" w:rsidP="002E01F4">
      <w:pPr>
        <w:pStyle w:val="nhsd-t-body"/>
        <w:rPr>
          <w:rFonts w:ascii="Arial" w:hAnsi="Arial" w:cs="Arial"/>
          <w:b/>
          <w:bCs/>
          <w:sz w:val="20"/>
          <w:szCs w:val="20"/>
        </w:rPr>
      </w:pPr>
      <w:r w:rsidRPr="004E2C36">
        <w:rPr>
          <w:rFonts w:ascii="Arial" w:hAnsi="Arial" w:cs="Arial"/>
          <w:b/>
          <w:bCs/>
          <w:sz w:val="20"/>
          <w:szCs w:val="20"/>
        </w:rPr>
        <w:t>NHS Digital Does not collect.</w:t>
      </w:r>
    </w:p>
    <w:p w14:paraId="50BB642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3FFE1345"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11361583"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62E3F51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5E3E5D87" w14:textId="77777777" w:rsidR="002E01F4" w:rsidRPr="004E2C36" w:rsidRDefault="002E01F4" w:rsidP="002E01F4">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996ECA5" w14:textId="77777777" w:rsidR="002E01F4" w:rsidRPr="004E2C36" w:rsidRDefault="002E01F4" w:rsidP="002E01F4">
      <w:pPr>
        <w:rPr>
          <w:rFonts w:ascii="Arial" w:hAnsi="Arial" w:cs="Arial"/>
          <w:sz w:val="20"/>
          <w:szCs w:val="20"/>
        </w:rPr>
      </w:pPr>
    </w:p>
    <w:p w14:paraId="4E013F4C" w14:textId="77777777" w:rsidR="002E01F4" w:rsidRPr="004E2C36" w:rsidRDefault="002E01F4" w:rsidP="002E01F4">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0E619C8"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677D8F6"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1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2ECB1DE6"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4146D3CD"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553831BE"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67D930CB"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231D5BC"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1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1CE135B0"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6D550BF" w14:textId="77777777" w:rsidR="002E01F4" w:rsidRPr="009B6561" w:rsidRDefault="002E01F4" w:rsidP="002E01F4">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1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1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A7F4470" w14:textId="77777777" w:rsidR="006552C9" w:rsidRDefault="006552C9" w:rsidP="006552C9">
      <w:pPr>
        <w:rPr>
          <w:rFonts w:ascii="Arial" w:hAnsi="Arial" w:cs="Arial"/>
          <w:sz w:val="20"/>
          <w:szCs w:val="20"/>
        </w:rPr>
      </w:pPr>
    </w:p>
    <w:p w14:paraId="4F71333C" w14:textId="77777777" w:rsidR="006552C9" w:rsidRDefault="006552C9" w:rsidP="006552C9">
      <w:pPr>
        <w:pStyle w:val="Heading2"/>
        <w:rPr>
          <w:rFonts w:ascii="Arial" w:hAnsi="Arial" w:cs="Arial"/>
          <w:sz w:val="20"/>
          <w:szCs w:val="20"/>
        </w:rPr>
      </w:pPr>
      <w:proofErr w:type="gramStart"/>
      <w:r>
        <w:rPr>
          <w:rFonts w:ascii="Arial" w:hAnsi="Arial" w:cs="Arial"/>
          <w:sz w:val="20"/>
          <w:szCs w:val="20"/>
        </w:rPr>
        <w:t>NHS Digital legal basis for collecting, analysing and sharing patient data.</w:t>
      </w:r>
      <w:proofErr w:type="gramEnd"/>
    </w:p>
    <w:p w14:paraId="44C77321" w14:textId="77777777" w:rsidR="006552C9" w:rsidRDefault="006552C9" w:rsidP="006552C9">
      <w:pPr>
        <w:pStyle w:val="nhsd-t-body"/>
        <w:rPr>
          <w:rFonts w:ascii="Arial" w:hAnsi="Arial" w:cs="Arial"/>
          <w:sz w:val="20"/>
          <w:szCs w:val="20"/>
        </w:rPr>
      </w:pPr>
      <w:r>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3298918E" w14:textId="77777777" w:rsidR="006552C9" w:rsidRDefault="006552C9" w:rsidP="006552C9">
      <w:pPr>
        <w:pStyle w:val="nhsd-t-body"/>
        <w:rPr>
          <w:rFonts w:ascii="Arial" w:hAnsi="Arial" w:cs="Arial"/>
          <w:sz w:val="20"/>
          <w:szCs w:val="20"/>
        </w:rPr>
      </w:pPr>
      <w:r>
        <w:rPr>
          <w:rFonts w:ascii="Arial" w:hAnsi="Arial" w:cs="Arial"/>
          <w:sz w:val="20"/>
          <w:szCs w:val="20"/>
        </w:rPr>
        <w:t>NHS Digital has been directed by the Secretary of State for Health and Social Care under the </w:t>
      </w:r>
      <w:hyperlink r:id="rId19" w:history="1">
        <w:r>
          <w:rPr>
            <w:rStyle w:val="Hyperlink"/>
            <w:rFonts w:ascii="Arial" w:hAnsi="Arial" w:cs="Arial"/>
            <w:sz w:val="20"/>
            <w:szCs w:val="20"/>
          </w:rPr>
          <w:t>General Practice Data for Planning and Research Directions 2021</w:t>
        </w:r>
      </w:hyperlink>
      <w:r>
        <w:rPr>
          <w:rFonts w:ascii="Arial" w:hAnsi="Arial" w:cs="Arial"/>
          <w:sz w:val="20"/>
          <w:szCs w:val="20"/>
        </w:rPr>
        <w:t> to collect and analyse data from GP practices for health and social care purposes including policy, planning, commissioning, public health and research purposes.</w:t>
      </w:r>
    </w:p>
    <w:p w14:paraId="2214C2E3" w14:textId="77777777" w:rsidR="006552C9" w:rsidRDefault="006552C9" w:rsidP="006552C9">
      <w:pPr>
        <w:pStyle w:val="nhsd-t-body"/>
        <w:rPr>
          <w:rFonts w:ascii="Arial" w:hAnsi="Arial" w:cs="Arial"/>
          <w:sz w:val="20"/>
          <w:szCs w:val="20"/>
        </w:rPr>
      </w:pPr>
      <w:r>
        <w:rPr>
          <w:rFonts w:ascii="Arial" w:hAnsi="Arial" w:cs="Arial"/>
          <w:sz w:val="20"/>
          <w:szCs w:val="20"/>
        </w:rPr>
        <w:t>NHS Digital is the controller of the patient data collected and analysed under the GDPR jointly with the Secretary of State for Health and Social Care.</w:t>
      </w:r>
    </w:p>
    <w:p w14:paraId="11855130" w14:textId="77777777" w:rsidR="006552C9" w:rsidRDefault="006552C9" w:rsidP="006552C9">
      <w:pPr>
        <w:pStyle w:val="nhsd-t-body"/>
        <w:rPr>
          <w:rFonts w:ascii="Arial" w:hAnsi="Arial" w:cs="Arial"/>
          <w:sz w:val="20"/>
          <w:szCs w:val="20"/>
        </w:rPr>
      </w:pPr>
      <w:r>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0" w:history="1">
        <w:r>
          <w:rPr>
            <w:rStyle w:val="Hyperlink"/>
            <w:rFonts w:ascii="Arial" w:hAnsi="Arial" w:cs="Arial"/>
            <w:sz w:val="20"/>
            <w:szCs w:val="20"/>
          </w:rPr>
          <w:t>Data Provision Notice</w:t>
        </w:r>
      </w:hyperlink>
      <w:r>
        <w:rPr>
          <w:rFonts w:ascii="Arial" w:hAnsi="Arial" w:cs="Arial"/>
          <w:sz w:val="20"/>
          <w:szCs w:val="20"/>
        </w:rPr>
        <w:t> issued by NHS Digital to GP practices.</w:t>
      </w:r>
    </w:p>
    <w:p w14:paraId="4288664B" w14:textId="77777777" w:rsidR="006552C9" w:rsidRDefault="006552C9" w:rsidP="006552C9">
      <w:pPr>
        <w:pStyle w:val="nhsd-t-body"/>
        <w:rPr>
          <w:rFonts w:ascii="Arial" w:hAnsi="Arial" w:cs="Arial"/>
          <w:sz w:val="20"/>
          <w:szCs w:val="20"/>
        </w:rPr>
      </w:pPr>
      <w:r>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05C92C82" w14:textId="77777777" w:rsidR="006552C9" w:rsidRDefault="006552C9" w:rsidP="006552C9">
      <w:pPr>
        <w:pStyle w:val="nhsd-t-body"/>
        <w:rPr>
          <w:rFonts w:ascii="Arial" w:hAnsi="Arial" w:cs="Arial"/>
          <w:sz w:val="20"/>
          <w:szCs w:val="20"/>
        </w:rPr>
      </w:pPr>
      <w:r>
        <w:rPr>
          <w:rFonts w:ascii="Arial" w:hAnsi="Arial" w:cs="Arial"/>
          <w:sz w:val="20"/>
          <w:szCs w:val="20"/>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11BD21DD" w14:textId="77777777" w:rsidR="006552C9" w:rsidRDefault="006552C9" w:rsidP="006552C9">
      <w:pPr>
        <w:shd w:val="clear" w:color="auto" w:fill="EDF1F1"/>
        <w:rPr>
          <w:rFonts w:ascii="Arial" w:hAnsi="Arial" w:cs="Arial"/>
          <w:sz w:val="20"/>
          <w:szCs w:val="20"/>
        </w:rPr>
      </w:pPr>
      <w:r>
        <w:rPr>
          <w:rStyle w:val="nhsd-m-expandericon"/>
        </w:rPr>
        <w:lastRenderedPageBreak/>
        <w:t> </w:t>
      </w:r>
      <w:r>
        <w:rPr>
          <w:rStyle w:val="nhsd-m-expanderheading"/>
          <w:rFonts w:ascii="Arial" w:hAnsi="Arial" w:cs="Arial"/>
          <w:sz w:val="20"/>
          <w:szCs w:val="20"/>
        </w:rPr>
        <w:t>The legal basis under GDPR for General Practice Data for Planning and Research</w:t>
      </w:r>
    </w:p>
    <w:p w14:paraId="1FC8DC53" w14:textId="77777777" w:rsidR="006552C9" w:rsidRDefault="006552C9" w:rsidP="006552C9">
      <w:pPr>
        <w:rPr>
          <w:rFonts w:ascii="Arial" w:hAnsi="Arial" w:cs="Arial"/>
          <w:sz w:val="20"/>
          <w:szCs w:val="20"/>
        </w:rPr>
      </w:pPr>
    </w:p>
    <w:p w14:paraId="77B9291A" w14:textId="77777777" w:rsidR="006552C9" w:rsidRDefault="006552C9" w:rsidP="006552C9">
      <w:pPr>
        <w:pStyle w:val="Heading2"/>
        <w:rPr>
          <w:rFonts w:ascii="Arial" w:hAnsi="Arial" w:cs="Arial"/>
          <w:sz w:val="20"/>
          <w:szCs w:val="20"/>
        </w:rPr>
      </w:pPr>
      <w:r>
        <w:rPr>
          <w:rFonts w:ascii="Arial" w:hAnsi="Arial" w:cs="Arial"/>
          <w:sz w:val="20"/>
          <w:szCs w:val="20"/>
        </w:rPr>
        <w:t>How NHS Digital use patient data</w:t>
      </w:r>
    </w:p>
    <w:p w14:paraId="156AB931" w14:textId="77777777" w:rsidR="006552C9" w:rsidRDefault="006552C9" w:rsidP="006552C9">
      <w:pPr>
        <w:pStyle w:val="nhsd-t-body"/>
        <w:rPr>
          <w:rFonts w:ascii="Arial" w:hAnsi="Arial" w:cs="Arial"/>
          <w:sz w:val="20"/>
          <w:szCs w:val="20"/>
        </w:rPr>
      </w:pPr>
      <w:r>
        <w:rPr>
          <w:rFonts w:ascii="Arial" w:hAnsi="Arial" w:cs="Arial"/>
          <w:sz w:val="20"/>
          <w:szCs w:val="20"/>
        </w:rPr>
        <w:t>NHS Digital will analyse and link the patient data we collect with other patient data we hold to create national data sets and for data quality purposes.</w:t>
      </w:r>
    </w:p>
    <w:p w14:paraId="3A4F5243" w14:textId="77777777" w:rsidR="006552C9" w:rsidRDefault="006552C9" w:rsidP="006552C9">
      <w:pPr>
        <w:pStyle w:val="nhsd-t-body"/>
        <w:rPr>
          <w:rFonts w:ascii="Arial" w:hAnsi="Arial" w:cs="Arial"/>
          <w:sz w:val="20"/>
          <w:szCs w:val="20"/>
        </w:rPr>
      </w:pPr>
      <w:r>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1" w:history="1">
        <w:r>
          <w:rPr>
            <w:rStyle w:val="Hyperlink"/>
            <w:rFonts w:ascii="Arial" w:hAnsi="Arial" w:cs="Arial"/>
            <w:sz w:val="20"/>
            <w:szCs w:val="20"/>
          </w:rPr>
          <w:t>Independent Group Advising on the Release of Data (IGARD)</w:t>
        </w:r>
      </w:hyperlink>
      <w:r>
        <w:rPr>
          <w:rFonts w:ascii="Arial" w:hAnsi="Arial" w:cs="Arial"/>
          <w:sz w:val="20"/>
          <w:szCs w:val="20"/>
        </w:rPr>
        <w:t>.</w:t>
      </w:r>
    </w:p>
    <w:p w14:paraId="1013966E" w14:textId="77777777" w:rsidR="006552C9" w:rsidRDefault="006552C9" w:rsidP="006552C9">
      <w:pPr>
        <w:pStyle w:val="nhsd-t-body"/>
        <w:rPr>
          <w:rFonts w:ascii="Arial" w:hAnsi="Arial" w:cs="Arial"/>
          <w:sz w:val="20"/>
          <w:szCs w:val="20"/>
        </w:rPr>
      </w:pPr>
      <w:r>
        <w:rPr>
          <w:rFonts w:ascii="Arial" w:hAnsi="Arial" w:cs="Arial"/>
          <w:sz w:val="20"/>
          <w:szCs w:val="20"/>
        </w:rPr>
        <w:t>These national data</w:t>
      </w:r>
      <w:proofErr w:type="gramStart"/>
      <w:r>
        <w:rPr>
          <w:rFonts w:ascii="Arial" w:hAnsi="Arial" w:cs="Arial"/>
          <w:sz w:val="20"/>
          <w:szCs w:val="20"/>
        </w:rPr>
        <w:t>  sets</w:t>
      </w:r>
      <w:proofErr w:type="gramEnd"/>
      <w:r>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5A7EB561" w14:textId="77777777" w:rsidR="006552C9" w:rsidRDefault="006552C9" w:rsidP="006552C9">
      <w:pPr>
        <w:pStyle w:val="nhsd-t-body"/>
        <w:rPr>
          <w:rFonts w:ascii="Arial" w:hAnsi="Arial" w:cs="Arial"/>
          <w:sz w:val="20"/>
          <w:szCs w:val="20"/>
        </w:rPr>
      </w:pPr>
      <w:r>
        <w:rPr>
          <w:rFonts w:ascii="Arial" w:hAnsi="Arial" w:cs="Arial"/>
          <w:sz w:val="20"/>
          <w:szCs w:val="20"/>
        </w:rPr>
        <w:t>For more information about data we publish see </w:t>
      </w:r>
      <w:hyperlink r:id="rId22" w:history="1">
        <w:r>
          <w:rPr>
            <w:rStyle w:val="Hyperlink"/>
            <w:rFonts w:ascii="Arial" w:hAnsi="Arial" w:cs="Arial"/>
            <w:sz w:val="20"/>
            <w:szCs w:val="20"/>
          </w:rPr>
          <w:t>Data and Information</w:t>
        </w:r>
      </w:hyperlink>
      <w:r>
        <w:rPr>
          <w:rFonts w:ascii="Arial" w:hAnsi="Arial" w:cs="Arial"/>
          <w:sz w:val="20"/>
          <w:szCs w:val="20"/>
        </w:rPr>
        <w:t> and </w:t>
      </w:r>
      <w:hyperlink r:id="rId23" w:history="1">
        <w:r>
          <w:rPr>
            <w:rStyle w:val="Hyperlink"/>
            <w:rFonts w:ascii="Arial" w:hAnsi="Arial" w:cs="Arial"/>
            <w:sz w:val="20"/>
            <w:szCs w:val="20"/>
          </w:rPr>
          <w:t>Data Dashboards</w:t>
        </w:r>
      </w:hyperlink>
      <w:r>
        <w:rPr>
          <w:rFonts w:ascii="Arial" w:hAnsi="Arial" w:cs="Arial"/>
          <w:sz w:val="20"/>
          <w:szCs w:val="20"/>
        </w:rPr>
        <w:t>.</w:t>
      </w:r>
    </w:p>
    <w:p w14:paraId="4A0125A7" w14:textId="77777777" w:rsidR="006552C9" w:rsidRDefault="006552C9" w:rsidP="006552C9">
      <w:pPr>
        <w:pStyle w:val="nhsd-t-body"/>
        <w:rPr>
          <w:rFonts w:ascii="Arial" w:hAnsi="Arial" w:cs="Arial"/>
          <w:sz w:val="20"/>
          <w:szCs w:val="20"/>
        </w:rPr>
      </w:pPr>
      <w:r>
        <w:rPr>
          <w:rFonts w:ascii="Arial" w:hAnsi="Arial" w:cs="Arial"/>
          <w:sz w:val="20"/>
          <w:szCs w:val="20"/>
        </w:rPr>
        <w:t>We may also carry out analysis on national data sets for data quality purposes and to support the work of others for the purposes set out in </w:t>
      </w:r>
      <w:hyperlink r:id="rId24" w:anchor="our-purposes-for-processing-patient-data" w:history="1">
        <w:r>
          <w:rPr>
            <w:rStyle w:val="Hyperlink"/>
            <w:rFonts w:ascii="Arial" w:hAnsi="Arial" w:cs="Arial"/>
            <w:sz w:val="20"/>
            <w:szCs w:val="20"/>
          </w:rPr>
          <w:t>Our purposes for processing patient data</w:t>
        </w:r>
      </w:hyperlink>
      <w:r>
        <w:rPr>
          <w:rFonts w:ascii="Arial" w:hAnsi="Arial" w:cs="Arial"/>
          <w:sz w:val="20"/>
          <w:szCs w:val="20"/>
        </w:rPr>
        <w:t> section above.</w:t>
      </w:r>
    </w:p>
    <w:p w14:paraId="290E4239" w14:textId="77777777" w:rsidR="006552C9" w:rsidRDefault="006552C9" w:rsidP="006552C9">
      <w:pPr>
        <w:pStyle w:val="Heading2"/>
        <w:rPr>
          <w:rFonts w:ascii="Arial" w:hAnsi="Arial" w:cs="Arial"/>
          <w:sz w:val="20"/>
          <w:szCs w:val="20"/>
        </w:rPr>
      </w:pPr>
      <w:r>
        <w:rPr>
          <w:rFonts w:ascii="Arial" w:hAnsi="Arial" w:cs="Arial"/>
          <w:sz w:val="20"/>
          <w:szCs w:val="20"/>
        </w:rPr>
        <w:t>Who NHS Digital share patient data with</w:t>
      </w:r>
    </w:p>
    <w:p w14:paraId="230F5448" w14:textId="77777777" w:rsidR="006552C9" w:rsidRDefault="006552C9" w:rsidP="006552C9">
      <w:pPr>
        <w:pStyle w:val="nhsd-t-body"/>
        <w:rPr>
          <w:rFonts w:ascii="Arial" w:hAnsi="Arial" w:cs="Arial"/>
          <w:sz w:val="20"/>
          <w:szCs w:val="20"/>
        </w:rPr>
      </w:pPr>
      <w:r>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1E212440" w14:textId="77777777" w:rsidR="006552C9" w:rsidRDefault="006552C9" w:rsidP="006552C9">
      <w:pPr>
        <w:pStyle w:val="nhsd-t-body"/>
        <w:rPr>
          <w:rFonts w:ascii="Arial" w:hAnsi="Arial" w:cs="Arial"/>
          <w:sz w:val="20"/>
          <w:szCs w:val="20"/>
        </w:rPr>
      </w:pPr>
      <w:r>
        <w:rPr>
          <w:rFonts w:ascii="Arial" w:hAnsi="Arial" w:cs="Arial"/>
          <w:sz w:val="20"/>
          <w:szCs w:val="20"/>
        </w:rPr>
        <w:t>All requests to access patient data from this collection, other than anonymous aggregate statistical data, will be assessed by NHS Digital’s </w:t>
      </w:r>
      <w:hyperlink r:id="rId25" w:history="1">
        <w:r>
          <w:rPr>
            <w:rStyle w:val="Hyperlink"/>
            <w:rFonts w:ascii="Arial" w:hAnsi="Arial" w:cs="Arial"/>
            <w:sz w:val="20"/>
            <w:szCs w:val="20"/>
          </w:rPr>
          <w:t>Data Access Request Service</w:t>
        </w:r>
      </w:hyperlink>
      <w:r>
        <w:rPr>
          <w:rFonts w:ascii="Arial" w:hAnsi="Arial" w:cs="Arial"/>
          <w:sz w:val="20"/>
          <w:szCs w:val="20"/>
        </w:rPr>
        <w:t>, to make sure that organisations have a legal basis to use the data and that it will be used safely, securely and appropriately.</w:t>
      </w:r>
    </w:p>
    <w:p w14:paraId="787879C6" w14:textId="77777777" w:rsidR="006552C9" w:rsidRDefault="006552C9" w:rsidP="006552C9">
      <w:pPr>
        <w:pStyle w:val="nhsd-t-body"/>
        <w:rPr>
          <w:rFonts w:ascii="Arial" w:hAnsi="Arial" w:cs="Arial"/>
          <w:sz w:val="20"/>
          <w:szCs w:val="20"/>
        </w:rPr>
      </w:pPr>
      <w:r>
        <w:rPr>
          <w:rFonts w:ascii="Arial" w:hAnsi="Arial" w:cs="Arial"/>
          <w:sz w:val="20"/>
          <w:szCs w:val="20"/>
        </w:rPr>
        <w:t>These requests for access to patient data will also be subject to independent scrutiny and oversight by the </w:t>
      </w:r>
      <w:hyperlink r:id="rId26" w:history="1">
        <w:r>
          <w:rPr>
            <w:rStyle w:val="Hyperlink"/>
            <w:rFonts w:ascii="Arial" w:hAnsi="Arial" w:cs="Arial"/>
            <w:sz w:val="20"/>
            <w:szCs w:val="20"/>
          </w:rPr>
          <w:t>Independent Group Advising on the Release of Data (IGARD)</w:t>
        </w:r>
      </w:hyperlink>
      <w:r>
        <w:rPr>
          <w:rFonts w:ascii="Arial" w:hAnsi="Arial" w:cs="Arial"/>
          <w:sz w:val="20"/>
          <w:szCs w:val="20"/>
        </w:rPr>
        <w:t>. Organisations approved to use this data will be required to enter into a data sharing agreement with NHS Digital regulating the use of the data.</w:t>
      </w:r>
    </w:p>
    <w:p w14:paraId="40E4888E" w14:textId="77777777" w:rsidR="006552C9" w:rsidRDefault="006552C9" w:rsidP="006552C9">
      <w:pPr>
        <w:pStyle w:val="nhsd-t-body"/>
        <w:rPr>
          <w:rFonts w:ascii="Arial" w:hAnsi="Arial" w:cs="Arial"/>
          <w:sz w:val="20"/>
          <w:szCs w:val="20"/>
        </w:rPr>
      </w:pPr>
      <w:r>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1A579185"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the Department of Health and Social Care and its executive agencies, including Public Health England and other government departments</w:t>
      </w:r>
    </w:p>
    <w:p w14:paraId="2C765E4E"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NHS England and NHS Improvement</w:t>
      </w:r>
    </w:p>
    <w:p w14:paraId="540C98A6"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primary care networks (PCNs), clinical commissioning groups (CCGs) and integrated care organisations (ICOs)</w:t>
      </w:r>
    </w:p>
    <w:p w14:paraId="0248E8A2"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local authorities</w:t>
      </w:r>
    </w:p>
    <w:p w14:paraId="4211378A" w14:textId="77777777" w:rsidR="006552C9" w:rsidRDefault="006552C9" w:rsidP="006552C9">
      <w:pPr>
        <w:numPr>
          <w:ilvl w:val="0"/>
          <w:numId w:val="28"/>
        </w:numPr>
        <w:spacing w:before="100" w:beforeAutospacing="1" w:after="100" w:afterAutospacing="1" w:line="240" w:lineRule="auto"/>
        <w:rPr>
          <w:rFonts w:ascii="Arial" w:hAnsi="Arial" w:cs="Arial"/>
          <w:sz w:val="20"/>
          <w:szCs w:val="20"/>
        </w:rPr>
      </w:pPr>
      <w:r>
        <w:rPr>
          <w:rFonts w:ascii="Arial" w:hAnsi="Arial" w:cs="Arial"/>
          <w:sz w:val="20"/>
          <w:szCs w:val="20"/>
        </w:rPr>
        <w:t>research organisations, including universities, charities, clinical research organisations that run clinical trials and pharmaceutical companies</w:t>
      </w:r>
    </w:p>
    <w:p w14:paraId="298C74D0" w14:textId="77777777" w:rsidR="006552C9" w:rsidRDefault="006552C9" w:rsidP="006552C9">
      <w:pPr>
        <w:pStyle w:val="nhsd-t-body"/>
        <w:rPr>
          <w:rFonts w:ascii="Arial" w:hAnsi="Arial" w:cs="Arial"/>
          <w:sz w:val="20"/>
          <w:szCs w:val="20"/>
        </w:rPr>
      </w:pPr>
      <w:r>
        <w:rPr>
          <w:rFonts w:ascii="Arial" w:hAnsi="Arial" w:cs="Arial"/>
          <w:sz w:val="20"/>
          <w:szCs w:val="20"/>
        </w:rPr>
        <w:t xml:space="preserve">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w:t>
      </w:r>
      <w:r>
        <w:rPr>
          <w:rFonts w:ascii="Arial" w:hAnsi="Arial" w:cs="Arial"/>
          <w:sz w:val="20"/>
          <w:szCs w:val="20"/>
        </w:rPr>
        <w:lastRenderedPageBreak/>
        <w:t>central, secure data environments and increase the data we make available to be accessed via our secure data access environment. For more information read about improved data access in </w:t>
      </w:r>
      <w:hyperlink r:id="rId27" w:history="1">
        <w:r>
          <w:rPr>
            <w:rStyle w:val="Hyperlink"/>
            <w:rFonts w:ascii="Arial" w:hAnsi="Arial" w:cs="Arial"/>
            <w:sz w:val="20"/>
            <w:szCs w:val="20"/>
          </w:rPr>
          <w:t>improving our data processing services</w:t>
        </w:r>
      </w:hyperlink>
      <w:r>
        <w:rPr>
          <w:rFonts w:ascii="Arial" w:hAnsi="Arial" w:cs="Arial"/>
          <w:sz w:val="20"/>
          <w:szCs w:val="20"/>
        </w:rPr>
        <w:t>.</w:t>
      </w:r>
    </w:p>
    <w:p w14:paraId="0C6A2B94" w14:textId="77777777" w:rsidR="006552C9" w:rsidRDefault="006552C9" w:rsidP="006552C9">
      <w:pPr>
        <w:pStyle w:val="nhsd-t-body"/>
        <w:rPr>
          <w:rFonts w:ascii="Arial" w:hAnsi="Arial" w:cs="Arial"/>
          <w:sz w:val="20"/>
          <w:szCs w:val="20"/>
        </w:rPr>
      </w:pPr>
      <w:r>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0168256" w14:textId="77777777" w:rsidR="006552C9" w:rsidRDefault="006552C9" w:rsidP="006552C9">
      <w:pPr>
        <w:pStyle w:val="nhsd-t-body"/>
        <w:rPr>
          <w:rFonts w:ascii="Arial" w:hAnsi="Arial" w:cs="Arial"/>
          <w:sz w:val="20"/>
          <w:szCs w:val="20"/>
        </w:rPr>
      </w:pPr>
      <w:r>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A931893"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 data was needed by a health professional for your own care and treatment</w:t>
      </w:r>
    </w:p>
    <w:p w14:paraId="5822987E"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you have expressly consented to this, for example to participate in a clinical trial</w:t>
      </w:r>
    </w:p>
    <w:p w14:paraId="4240F27D"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there is a legal obligation, for example where the COPI Notices apply - see </w:t>
      </w:r>
      <w:hyperlink r:id="rId28" w:anchor="our-legal-basis-for-collecting-analysing-and-sharing-patient-data" w:history="1">
        <w:r>
          <w:rPr>
            <w:rStyle w:val="Hyperlink"/>
            <w:rFonts w:ascii="Arial" w:hAnsi="Arial" w:cs="Arial"/>
            <w:sz w:val="20"/>
            <w:szCs w:val="20"/>
          </w:rPr>
          <w:t>Our legal basis for collecting, analysing and sharing patient data</w:t>
        </w:r>
      </w:hyperlink>
      <w:r>
        <w:rPr>
          <w:rFonts w:ascii="Arial" w:hAnsi="Arial" w:cs="Arial"/>
          <w:sz w:val="20"/>
          <w:szCs w:val="20"/>
        </w:rPr>
        <w:t> above for more information on this</w:t>
      </w:r>
    </w:p>
    <w:p w14:paraId="50A381A5" w14:textId="77777777" w:rsidR="006552C9" w:rsidRDefault="006552C9" w:rsidP="006552C9">
      <w:pPr>
        <w:numPr>
          <w:ilvl w:val="0"/>
          <w:numId w:val="29"/>
        </w:numPr>
        <w:spacing w:before="100" w:beforeAutospacing="1" w:after="100" w:afterAutospacing="1" w:line="240" w:lineRule="auto"/>
        <w:rPr>
          <w:rFonts w:ascii="Arial" w:hAnsi="Arial" w:cs="Arial"/>
          <w:sz w:val="20"/>
          <w:szCs w:val="20"/>
        </w:rPr>
      </w:pPr>
      <w:r>
        <w:rPr>
          <w:rFonts w:ascii="Arial" w:hAnsi="Arial" w:cs="Arial"/>
          <w:sz w:val="20"/>
          <w:szCs w:val="20"/>
        </w:rPr>
        <w:t>where approval has been provided by the </w:t>
      </w:r>
      <w:hyperlink r:id="rId29" w:history="1">
        <w:r>
          <w:rPr>
            <w:rStyle w:val="Hyperlink"/>
            <w:rFonts w:ascii="Arial" w:hAnsi="Arial" w:cs="Arial"/>
            <w:sz w:val="20"/>
            <w:szCs w:val="20"/>
          </w:rPr>
          <w:t>Health Research Authority</w:t>
        </w:r>
      </w:hyperlink>
      <w:r>
        <w:rPr>
          <w:rFonts w:ascii="Arial" w:hAnsi="Arial" w:cs="Arial"/>
          <w:sz w:val="20"/>
          <w:szCs w:val="20"/>
        </w:rPr>
        <w:t> or the Secretary of State with support from the </w:t>
      </w:r>
      <w:hyperlink r:id="rId30" w:history="1">
        <w:r>
          <w:rPr>
            <w:rStyle w:val="Hyperlink"/>
            <w:rFonts w:ascii="Arial" w:hAnsi="Arial" w:cs="Arial"/>
            <w:sz w:val="20"/>
            <w:szCs w:val="20"/>
          </w:rPr>
          <w:t>Confidentiality Advisory Group (CAG)</w:t>
        </w:r>
      </w:hyperlink>
      <w:r>
        <w:rPr>
          <w:rFonts w:ascii="Arial" w:hAnsi="Arial" w:cs="Arial"/>
          <w:sz w:val="20"/>
          <w:szCs w:val="20"/>
        </w:rPr>
        <w:t> under Regulation 5 of the Health Service (Control of Patient Information) Regulations 2002 (COPI) - this is sometimes known as a ‘section 251 approval’</w:t>
      </w:r>
    </w:p>
    <w:p w14:paraId="2BB187C9" w14:textId="77777777" w:rsidR="006552C9" w:rsidRDefault="006552C9" w:rsidP="006552C9">
      <w:pPr>
        <w:pStyle w:val="nhsd-t-body"/>
        <w:rPr>
          <w:rFonts w:ascii="Arial" w:hAnsi="Arial" w:cs="Arial"/>
          <w:sz w:val="20"/>
          <w:szCs w:val="20"/>
        </w:rPr>
      </w:pPr>
      <w:r>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54B2F2A0" w14:textId="77777777" w:rsidR="006552C9" w:rsidRDefault="006552C9" w:rsidP="006552C9">
      <w:pPr>
        <w:pStyle w:val="nhsd-t-body"/>
        <w:rPr>
          <w:rFonts w:ascii="Arial" w:hAnsi="Arial" w:cs="Arial"/>
          <w:sz w:val="20"/>
          <w:szCs w:val="20"/>
        </w:rPr>
      </w:pPr>
      <w:r>
        <w:rPr>
          <w:rFonts w:ascii="Arial" w:hAnsi="Arial" w:cs="Arial"/>
          <w:sz w:val="20"/>
          <w:szCs w:val="20"/>
        </w:rPr>
        <w:t>Details of who we have shared data with, in what form and for what purposes are published on our </w:t>
      </w:r>
      <w:hyperlink r:id="rId31" w:history="1">
        <w:r>
          <w:rPr>
            <w:rStyle w:val="Hyperlink"/>
            <w:rFonts w:ascii="Arial" w:hAnsi="Arial" w:cs="Arial"/>
            <w:sz w:val="20"/>
            <w:szCs w:val="20"/>
          </w:rPr>
          <w:t>data release register</w:t>
        </w:r>
      </w:hyperlink>
      <w:r>
        <w:rPr>
          <w:rFonts w:ascii="Arial" w:hAnsi="Arial" w:cs="Arial"/>
          <w:sz w:val="20"/>
          <w:szCs w:val="20"/>
        </w:rPr>
        <w:t>.</w:t>
      </w:r>
    </w:p>
    <w:p w14:paraId="7012BE56" w14:textId="77777777" w:rsidR="006552C9" w:rsidRDefault="006552C9" w:rsidP="006552C9">
      <w:pPr>
        <w:pStyle w:val="Heading2"/>
        <w:rPr>
          <w:rFonts w:ascii="Arial" w:hAnsi="Arial" w:cs="Arial"/>
          <w:sz w:val="20"/>
          <w:szCs w:val="20"/>
        </w:rPr>
      </w:pPr>
      <w:r>
        <w:rPr>
          <w:rFonts w:ascii="Arial" w:hAnsi="Arial" w:cs="Arial"/>
          <w:sz w:val="20"/>
          <w:szCs w:val="20"/>
        </w:rPr>
        <w:t>Where NHS digital stores patient data</w:t>
      </w:r>
    </w:p>
    <w:p w14:paraId="1A1CDDC2" w14:textId="77777777" w:rsidR="006552C9" w:rsidRDefault="006552C9" w:rsidP="006552C9">
      <w:pPr>
        <w:pStyle w:val="nhsd-t-body"/>
        <w:rPr>
          <w:rFonts w:ascii="Arial" w:hAnsi="Arial" w:cs="Arial"/>
          <w:sz w:val="20"/>
          <w:szCs w:val="20"/>
        </w:rPr>
      </w:pPr>
      <w:r>
        <w:rPr>
          <w:rFonts w:ascii="Arial" w:hAnsi="Arial" w:cs="Arial"/>
          <w:sz w:val="20"/>
          <w:szCs w:val="20"/>
        </w:rPr>
        <w:t>NHS Digital only stores and processes patient data for this data collection within the United Kingdom (UK).</w:t>
      </w:r>
    </w:p>
    <w:p w14:paraId="60742056" w14:textId="77777777" w:rsidR="006552C9" w:rsidRDefault="006552C9" w:rsidP="006552C9">
      <w:pPr>
        <w:pStyle w:val="nhsd-t-body"/>
        <w:rPr>
          <w:rFonts w:ascii="Arial" w:hAnsi="Arial" w:cs="Arial"/>
          <w:sz w:val="20"/>
          <w:szCs w:val="20"/>
        </w:rPr>
      </w:pPr>
      <w:r>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2E0E1E9" w:rsidR="0020197A"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28476995" w14:textId="56AA4CF9" w:rsidR="006552C9" w:rsidRDefault="006552C9" w:rsidP="0020197A">
      <w:pPr>
        <w:widowControl w:val="0"/>
        <w:spacing w:after="280"/>
        <w:rPr>
          <w:rFonts w:ascii="Arial" w:hAnsi="Arial" w:cs="Arial"/>
          <w:sz w:val="20"/>
          <w:szCs w:val="20"/>
        </w:rPr>
      </w:pPr>
    </w:p>
    <w:p w14:paraId="5E57D01C" w14:textId="77777777" w:rsidR="006552C9" w:rsidRPr="005E1E0E" w:rsidRDefault="006552C9" w:rsidP="0020197A">
      <w:pPr>
        <w:widowControl w:val="0"/>
        <w:spacing w:after="280"/>
        <w:rPr>
          <w:rFonts w:ascii="Arial" w:hAnsi="Arial" w:cs="Arial"/>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2C5EAFFF" w:rsidR="003F3530" w:rsidRDefault="003F3530"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0E3D8B59"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lastRenderedPageBreak/>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proofErr w:type="spellStart"/>
      <w:r w:rsidR="008960BF">
        <w:rPr>
          <w:rFonts w:ascii="Arial" w:hAnsi="Arial" w:cs="Arial"/>
          <w:sz w:val="20"/>
          <w:szCs w:val="20"/>
        </w:rPr>
        <w:t>Torkard</w:t>
      </w:r>
      <w:proofErr w:type="spellEnd"/>
      <w:r w:rsidR="008960BF">
        <w:rPr>
          <w:rFonts w:ascii="Arial" w:hAnsi="Arial" w:cs="Arial"/>
          <w:sz w:val="20"/>
          <w:szCs w:val="20"/>
        </w:rPr>
        <w:t xml:space="preserve"> Hill Medical Centre</w:t>
      </w:r>
      <w:r w:rsidR="008960BF" w:rsidRPr="005E1E0E">
        <w:rPr>
          <w:rFonts w:ascii="Arial" w:hAnsi="Arial" w:cs="Arial"/>
          <w:sz w:val="20"/>
          <w:szCs w:val="20"/>
        </w:rPr>
        <w:t xml:space="preserve"> </w:t>
      </w:r>
      <w:bookmarkStart w:id="6" w:name="_GoBack"/>
      <w:bookmarkEnd w:id="6"/>
      <w:r w:rsidR="00A87B6C" w:rsidRPr="005E1E0E">
        <w:rPr>
          <w:rFonts w:ascii="Arial" w:hAnsi="Arial" w:cs="Arial"/>
          <w:sz w:val="20"/>
          <w:szCs w:val="20"/>
        </w:rPr>
        <w:t>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3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t>
      </w:r>
      <w:r w:rsidRPr="005E1E0E">
        <w:rPr>
          <w:rFonts w:ascii="Arial" w:hAnsi="Arial" w:cs="Arial"/>
          <w:sz w:val="20"/>
          <w:szCs w:val="20"/>
        </w:rPr>
        <w:lastRenderedPageBreak/>
        <w:t xml:space="preserve">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14EBD7FE" w14:textId="77777777"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The aim is that by July 2019, all areas within England will be covered by a PCN.</w:t>
      </w:r>
    </w:p>
    <w:p w14:paraId="36C9F514" w14:textId="77777777"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7CCBD6E1" w14:textId="77777777"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77777777"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509F7CE4" w14:textId="77777777" w:rsidR="008A351A" w:rsidRPr="005E1E0E" w:rsidRDefault="008A351A" w:rsidP="008A351A">
      <w:pPr>
        <w:rPr>
          <w:rFonts w:ascii="Arial" w:hAnsi="Arial" w:cs="Arial"/>
          <w:b/>
          <w:sz w:val="20"/>
          <w:szCs w:val="20"/>
        </w:rPr>
      </w:pP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46A72F20" w14:textId="77777777" w:rsidR="00E40334" w:rsidRPr="00E40334" w:rsidRDefault="00E40334" w:rsidP="00E40334">
      <w:pPr>
        <w:pStyle w:val="Heading2"/>
        <w:rPr>
          <w:rFonts w:ascii="Arial" w:hAnsi="Arial" w:cs="Arial"/>
          <w:sz w:val="20"/>
          <w:szCs w:val="20"/>
        </w:rPr>
      </w:pPr>
      <w:bookmarkStart w:id="7" w:name="_Toc31368650"/>
      <w:bookmarkStart w:id="8" w:name="_Hlk31370151"/>
      <w:r w:rsidRPr="00E40334">
        <w:rPr>
          <w:rFonts w:ascii="Arial" w:hAnsi="Arial" w:cs="Arial"/>
          <w:sz w:val="20"/>
          <w:szCs w:val="20"/>
        </w:rPr>
        <w:t>Online Access</w:t>
      </w:r>
      <w:bookmarkEnd w:id="7"/>
    </w:p>
    <w:p w14:paraId="16C7C1C2" w14:textId="77777777" w:rsidR="00E40334" w:rsidRPr="00E40334" w:rsidRDefault="00E40334" w:rsidP="00E403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14:paraId="0860EEDF"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Please note that when we give you online access, the responsibility is yours to make sure that you keep your information safe and secure if you do not wish any third party to gain access.</w:t>
      </w:r>
    </w:p>
    <w:p w14:paraId="09B887C1" w14:textId="77777777" w:rsidR="00E40334" w:rsidRPr="00E40334" w:rsidRDefault="00E40334" w:rsidP="00E40334">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073CA71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3CE21A9B" w14:textId="6AD34AE9" w:rsidR="00E40334" w:rsidRDefault="00E40334" w:rsidP="00E40334">
      <w:pPr>
        <w:pStyle w:val="Heading1"/>
        <w:rPr>
          <w:rFonts w:ascii="Arial" w:hAnsi="Arial" w:cs="Arial"/>
          <w:b/>
          <w:bCs/>
          <w:color w:val="auto"/>
          <w:sz w:val="20"/>
          <w:szCs w:val="20"/>
        </w:rPr>
      </w:pPr>
      <w:bookmarkStart w:id="10" w:name="_Toc31368652"/>
      <w:r w:rsidRPr="00E40334">
        <w:rPr>
          <w:rFonts w:ascii="Arial" w:hAnsi="Arial" w:cs="Arial"/>
          <w:b/>
          <w:bCs/>
          <w:color w:val="auto"/>
          <w:sz w:val="20"/>
          <w:szCs w:val="20"/>
        </w:rPr>
        <w:t>Our website</w:t>
      </w:r>
      <w:bookmarkEnd w:id="10"/>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38A3726C" w14:textId="71696CC7" w:rsidR="00E40334" w:rsidRDefault="00E40334" w:rsidP="003A3C73">
      <w:pPr>
        <w:rPr>
          <w:rFonts w:ascii="Arial" w:hAnsi="Arial" w:cs="Arial"/>
          <w:sz w:val="20"/>
          <w:szCs w:val="20"/>
        </w:rPr>
      </w:pPr>
    </w:p>
    <w:p w14:paraId="747EFC6F" w14:textId="77777777" w:rsidR="00E40334" w:rsidRPr="005E1E0E" w:rsidRDefault="00E40334" w:rsidP="003A3C73">
      <w:pPr>
        <w:rPr>
          <w:rFonts w:ascii="Arial" w:hAnsi="Arial" w:cs="Arial"/>
          <w:sz w:val="20"/>
          <w:szCs w:val="20"/>
        </w:rPr>
      </w:pP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8960BF" w:rsidP="007A3DA9">
      <w:pPr>
        <w:rPr>
          <w:rFonts w:ascii="Arial" w:hAnsi="Arial" w:cs="Arial"/>
          <w:sz w:val="20"/>
          <w:szCs w:val="20"/>
        </w:rPr>
      </w:pPr>
      <w:hyperlink r:id="rId33"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34"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17"/>
  </w:num>
  <w:num w:numId="4">
    <w:abstractNumId w:val="11"/>
  </w:num>
  <w:num w:numId="5">
    <w:abstractNumId w:val="1"/>
  </w:num>
  <w:num w:numId="6">
    <w:abstractNumId w:val="26"/>
  </w:num>
  <w:num w:numId="7">
    <w:abstractNumId w:val="3"/>
  </w:num>
  <w:num w:numId="8">
    <w:abstractNumId w:val="2"/>
  </w:num>
  <w:num w:numId="9">
    <w:abstractNumId w:val="14"/>
  </w:num>
  <w:num w:numId="10">
    <w:abstractNumId w:val="0"/>
  </w:num>
  <w:num w:numId="11">
    <w:abstractNumId w:val="12"/>
  </w:num>
  <w:num w:numId="12">
    <w:abstractNumId w:val="23"/>
  </w:num>
  <w:num w:numId="13">
    <w:abstractNumId w:val="8"/>
  </w:num>
  <w:num w:numId="14">
    <w:abstractNumId w:val="27"/>
  </w:num>
  <w:num w:numId="15">
    <w:abstractNumId w:val="16"/>
  </w:num>
  <w:num w:numId="16">
    <w:abstractNumId w:val="22"/>
  </w:num>
  <w:num w:numId="17">
    <w:abstractNumId w:val="13"/>
  </w:num>
  <w:num w:numId="18">
    <w:abstractNumId w:val="28"/>
  </w:num>
  <w:num w:numId="19">
    <w:abstractNumId w:val="21"/>
  </w:num>
  <w:num w:numId="20">
    <w:abstractNumId w:val="9"/>
  </w:num>
  <w:num w:numId="21">
    <w:abstractNumId w:val="6"/>
  </w:num>
  <w:num w:numId="22">
    <w:abstractNumId w:val="18"/>
  </w:num>
  <w:num w:numId="23">
    <w:abstractNumId w:val="15"/>
  </w:num>
  <w:num w:numId="24">
    <w:abstractNumId w:val="7"/>
  </w:num>
  <w:num w:numId="25">
    <w:abstractNumId w:val="19"/>
  </w:num>
  <w:num w:numId="26">
    <w:abstractNumId w:val="10"/>
  </w:num>
  <w:num w:numId="27">
    <w:abstractNumId w:val="25"/>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40E97"/>
    <w:rsid w:val="0004303B"/>
    <w:rsid w:val="000643C2"/>
    <w:rsid w:val="000819ED"/>
    <w:rsid w:val="000B4869"/>
    <w:rsid w:val="000C3A44"/>
    <w:rsid w:val="000D1380"/>
    <w:rsid w:val="000F2A4A"/>
    <w:rsid w:val="000F7FAC"/>
    <w:rsid w:val="001076D5"/>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90C4C"/>
    <w:rsid w:val="002A08E5"/>
    <w:rsid w:val="002C784F"/>
    <w:rsid w:val="002D3218"/>
    <w:rsid w:val="002E01F4"/>
    <w:rsid w:val="002E2FB3"/>
    <w:rsid w:val="00311326"/>
    <w:rsid w:val="0034565A"/>
    <w:rsid w:val="00382525"/>
    <w:rsid w:val="00385905"/>
    <w:rsid w:val="003932DF"/>
    <w:rsid w:val="003971C8"/>
    <w:rsid w:val="003A3C73"/>
    <w:rsid w:val="003C1197"/>
    <w:rsid w:val="003C481D"/>
    <w:rsid w:val="003C5E88"/>
    <w:rsid w:val="003D4847"/>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E55"/>
    <w:rsid w:val="008960BF"/>
    <w:rsid w:val="008A351A"/>
    <w:rsid w:val="008B2E14"/>
    <w:rsid w:val="008B5BEE"/>
    <w:rsid w:val="008D1465"/>
    <w:rsid w:val="008D3E7A"/>
    <w:rsid w:val="008F7322"/>
    <w:rsid w:val="00902B44"/>
    <w:rsid w:val="00913899"/>
    <w:rsid w:val="00914F3B"/>
    <w:rsid w:val="00922297"/>
    <w:rsid w:val="009443D8"/>
    <w:rsid w:val="00947E7D"/>
    <w:rsid w:val="00953D19"/>
    <w:rsid w:val="009A2DD7"/>
    <w:rsid w:val="009D3070"/>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92B1C"/>
    <w:rsid w:val="00B94788"/>
    <w:rsid w:val="00BA057D"/>
    <w:rsid w:val="00C07129"/>
    <w:rsid w:val="00C16543"/>
    <w:rsid w:val="00C47616"/>
    <w:rsid w:val="00C71581"/>
    <w:rsid w:val="00C87466"/>
    <w:rsid w:val="00CA5A4E"/>
    <w:rsid w:val="00CF37C0"/>
    <w:rsid w:val="00D20053"/>
    <w:rsid w:val="00D275EA"/>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F22FD3"/>
    <w:rsid w:val="00F27A9B"/>
    <w:rsid w:val="00F4584D"/>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a.org.uk/" TargetMode="External"/><Relationship Id="rId13" Type="http://schemas.openxmlformats.org/officeDocument/2006/relationships/hyperlink" Target="https://digital.nhs.uk/data-and-information/data-collections-and-data-sets/data-collections/general-practice-data-for-planning-and-research/transparency-notice" TargetMode="External"/><Relationship Id="rId18" Type="http://schemas.openxmlformats.org/officeDocument/2006/relationships/hyperlink" Target="https://digital.nhs.uk/data-and-information/data-collections-and-data-sets/data-collections/general-practice-data-for-planning-and-research/transparency-notice" TargetMode="External"/><Relationship Id="rId26" Type="http://schemas.openxmlformats.org/officeDocument/2006/relationships/hyperlink" Target="https://digital.nhs.uk/about-nhs-digital/corporate-information-and-documents/independent-group-advising-on-the-release-of-data" TargetMode="External"/><Relationship Id="rId3" Type="http://schemas.openxmlformats.org/officeDocument/2006/relationships/styles" Target="styles.xml"/><Relationship Id="rId21" Type="http://schemas.openxmlformats.org/officeDocument/2006/relationships/hyperlink" Target="https://digital.nhs.uk/about-nhs-digital/corporate-information-and-documents/independent-group-advising-on-the-release-of-data" TargetMode="External"/><Relationship Id="rId34" Type="http://schemas.openxmlformats.org/officeDocument/2006/relationships/hyperlink" Target="mailto:Couldrey@me.com" TargetMode="External"/><Relationship Id="rId7" Type="http://schemas.openxmlformats.org/officeDocument/2006/relationships/hyperlink" Target="https://cprd.com/transparency-information" TargetMode="External"/><Relationship Id="rId12" Type="http://schemas.openxmlformats.org/officeDocument/2006/relationships/hyperlink" Target="https://creativecommons.org/licenses/by/2.0/"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services/data-access-request-service-dars" TargetMode="External"/><Relationship Id="rId33" Type="http://schemas.openxmlformats.org/officeDocument/2006/relationships/hyperlink" Target="https://ico.org.uk/" TargetMode="External"/><Relationship Id="rId2" Type="http://schemas.openxmlformats.org/officeDocument/2006/relationships/numbering" Target="numbering.xml"/><Relationship Id="rId16" Type="http://schemas.openxmlformats.org/officeDocument/2006/relationships/hyperlink" Target="https://nhs-prod.global.ssl.fastly.net/binaries/content/assets/website-assets/data-and-information/data-collections/general-practice-data-for-planning-and-research/type-1-opt-out-form.docx"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9" Type="http://schemas.openxmlformats.org/officeDocument/2006/relationships/hyperlink" Target="https://www.hra.nhs.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article/1202/Records-Management-Code-of-Practice-for-Health-and-Social-Care-2016" TargetMode="External"/><Relationship Id="rId5" Type="http://schemas.openxmlformats.org/officeDocument/2006/relationships/settings" Target="settings.xml"/><Relationship Id="rId15" Type="http://schemas.openxmlformats.org/officeDocument/2006/relationships/hyperlink" Target="https://digital.nhs.uk/data-and-information/data-collections-and-data-sets/data-collections/general-practice-data-for-planning-and-research/transparency-notice" TargetMode="External"/><Relationship Id="rId23" Type="http://schemas.openxmlformats.org/officeDocument/2006/relationships/hyperlink" Target="https://digital.nhs.uk/dashboard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theme" Target="theme/theme1.xml"/><Relationship Id="rId10" Type="http://schemas.openxmlformats.org/officeDocument/2006/relationships/hyperlink" Target="http://www.gov.uk/government/organisations/national-data-guardian" TargetMode="External"/><Relationship Id="rId1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1" Type="http://schemas.openxmlformats.org/officeDocument/2006/relationships/hyperlink" Target="https://digital.nhs.uk/services/data-access-request-service-dars/register-of-approved-data-releases" TargetMode="External"/><Relationship Id="rId4" Type="http://schemas.microsoft.com/office/2007/relationships/stylesWithEffects" Target="stylesWithEffects.xml"/><Relationship Id="rId9" Type="http://schemas.openxmlformats.org/officeDocument/2006/relationships/hyperlink" Target="http://www.rcgp.org.uk/" TargetMode="External"/><Relationship Id="rId1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2" Type="http://schemas.openxmlformats.org/officeDocument/2006/relationships/hyperlink" Target="https://digital.nhs.uk/data" TargetMode="External"/><Relationship Id="rId27" Type="http://schemas.openxmlformats.org/officeDocument/2006/relationships/hyperlink" Target="https://digital.nhs.uk/data-and-information/data-insights-and-statistics/improving-our-data-processing-services" TargetMode="External"/><Relationship Id="rId30" Type="http://schemas.openxmlformats.org/officeDocument/2006/relationships/hyperlink" Target="https://www.hra.nhs.uk/about-us/committees-and-services/confidentiality-advisory-grou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1D55E-EB97-40CF-A744-3D275B12D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8005</Words>
  <Characters>45629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53527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Alder James - Senior Administrator - C84053</cp:lastModifiedBy>
  <cp:revision>3</cp:revision>
  <cp:lastPrinted>2019-06-13T09:46:00Z</cp:lastPrinted>
  <dcterms:created xsi:type="dcterms:W3CDTF">2021-07-07T14:11:00Z</dcterms:created>
  <dcterms:modified xsi:type="dcterms:W3CDTF">2021-07-07T14:14:00Z</dcterms:modified>
</cp:coreProperties>
</file>